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8F56F">
      <w:pPr>
        <w:jc w:val="center"/>
        <w:rPr>
          <w:rFonts w:ascii="黑体" w:hAnsi="黑体" w:eastAsia="黑体" w:cs="黑体"/>
          <w:b/>
          <w:sz w:val="32"/>
          <w:szCs w:val="32"/>
        </w:rPr>
      </w:pPr>
      <w:bookmarkStart w:id="2" w:name="_GoBack"/>
      <w:bookmarkEnd w:id="2"/>
      <w:r>
        <w:rPr>
          <w:rFonts w:hint="eastAsia" w:ascii="黑体" w:hAnsi="黑体" w:eastAsia="黑体" w:cs="黑体"/>
          <w:b/>
          <w:sz w:val="32"/>
          <w:szCs w:val="32"/>
        </w:rPr>
        <w:t>北京林业大学第九届“</w:t>
      </w:r>
      <w:r>
        <w:rPr>
          <w:rFonts w:ascii="黑体" w:hAnsi="黑体" w:eastAsia="黑体" w:cs="黑体"/>
          <w:b/>
          <w:sz w:val="32"/>
          <w:szCs w:val="32"/>
        </w:rPr>
        <w:t>春秋拓展</w:t>
      </w:r>
      <w:r>
        <w:rPr>
          <w:rFonts w:hint="eastAsia" w:ascii="黑体" w:hAnsi="黑体" w:eastAsia="黑体" w:cs="黑体"/>
          <w:b/>
          <w:sz w:val="32"/>
          <w:szCs w:val="32"/>
        </w:rPr>
        <w:t>杯”管理案例精英赛（202</w:t>
      </w:r>
      <w:r>
        <w:rPr>
          <w:rFonts w:ascii="黑体" w:hAnsi="黑体" w:eastAsia="黑体" w:cs="黑体"/>
          <w:b/>
          <w:sz w:val="32"/>
          <w:szCs w:val="32"/>
        </w:rPr>
        <w:t>6</w:t>
      </w:r>
      <w:r>
        <w:rPr>
          <w:rFonts w:hint="eastAsia" w:ascii="黑体" w:hAnsi="黑体" w:eastAsia="黑体" w:cs="黑体"/>
          <w:b/>
          <w:sz w:val="32"/>
          <w:szCs w:val="32"/>
        </w:rPr>
        <w:t>）</w:t>
      </w:r>
    </w:p>
    <w:p w14:paraId="0C685980">
      <w:pPr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比赛规则及评分表</w:t>
      </w:r>
    </w:p>
    <w:p w14:paraId="536F0FC6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1.比赛规则 </w:t>
      </w:r>
    </w:p>
    <w:p w14:paraId="39646D43">
      <w:pPr>
        <w:spacing w:line="3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）案例大赛分为赛前盲审和现场竞赛两个环节，每支参赛队伍的分数为两个环节得分的加总。其中，赛前盲审环节分值为40分，评分标准及要点参见盲审阶段评分表（表1）；现场竞赛环节分值为60分，评分标准及要点参见现场阶段评分表（表2）。赛前盲审及现场竞赛阶段的打分都去掉极值分数，即去掉一个最高分一个最低分。 </w:t>
      </w:r>
    </w:p>
    <w:p w14:paraId="50D18853">
      <w:pPr>
        <w:spacing w:line="3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参赛队伍于现场竞赛</w:t>
      </w:r>
      <w:r>
        <w:rPr>
          <w:rFonts w:hint="eastAsia" w:ascii="黑体" w:hAnsi="黑体" w:eastAsia="黑体" w:cs="黑体"/>
          <w:b/>
          <w:bCs/>
          <w:sz w:val="24"/>
          <w:szCs w:val="24"/>
          <w:highlight w:val="yellow"/>
        </w:rPr>
        <w:t>前一晚</w:t>
      </w:r>
      <w:r>
        <w:rPr>
          <w:rFonts w:hint="eastAsia"/>
          <w:sz w:val="24"/>
          <w:szCs w:val="24"/>
        </w:rPr>
        <w:t>提交案例</w:t>
      </w:r>
      <w:r>
        <w:rPr>
          <w:rFonts w:hint="eastAsia" w:ascii="黑体" w:hAnsi="黑体" w:eastAsia="黑体" w:cs="黑体"/>
          <w:b/>
          <w:bCs/>
          <w:sz w:val="24"/>
          <w:szCs w:val="24"/>
          <w:highlight w:val="yellow"/>
        </w:rPr>
        <w:t>盲审PPT</w:t>
      </w:r>
      <w:r>
        <w:rPr>
          <w:rFonts w:hint="eastAsia"/>
          <w:sz w:val="24"/>
          <w:szCs w:val="24"/>
        </w:rPr>
        <w:t>，组委会严格执行迟交盲审材料扣分的规定，以组委会时间为准，迟交10分钟之内扣0.5分，迟交10-20分钟扣1分，迟交20-30分钟扣1.5分，以此类推。</w:t>
      </w:r>
    </w:p>
    <w:p w14:paraId="44F4F4B5">
      <w:pPr>
        <w:spacing w:line="3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2）现场竞赛环节采用大小PK制，每次上台两支队伍，所有流程按主持人提示进行，超时将被打断。总时间</w:t>
      </w:r>
      <w:r>
        <w:rPr>
          <w:rFonts w:hint="eastAsia" w:ascii="黑体" w:hAnsi="黑体" w:eastAsia="黑体" w:cs="黑体"/>
          <w:b/>
          <w:bCs/>
          <w:sz w:val="24"/>
          <w:szCs w:val="24"/>
          <w:highlight w:val="yellow"/>
        </w:rPr>
        <w:t>50分钟</w:t>
      </w:r>
    </w:p>
    <w:p w14:paraId="18D5DDD8">
      <w:pPr>
        <w:spacing w:line="360" w:lineRule="exact"/>
        <w:ind w:firstLine="482" w:firstLineChars="200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  <w:u w:val="double"/>
        </w:rPr>
        <w:t>现场竞赛第一环节</w:t>
      </w:r>
      <w:r>
        <w:rPr>
          <w:rFonts w:hint="eastAsia"/>
          <w:sz w:val="24"/>
          <w:szCs w:val="24"/>
        </w:rPr>
        <w:t>（小PK，30分钟=</w:t>
      </w:r>
      <w:r>
        <w:rPr>
          <w:rFonts w:hint="eastAsia" w:ascii="黑体" w:hAnsi="黑体" w:eastAsia="黑体" w:cs="黑体"/>
          <w:b/>
          <w:bCs/>
          <w:sz w:val="24"/>
          <w:szCs w:val="24"/>
          <w:highlight w:val="yellow"/>
        </w:rPr>
        <w:t>15分钟</w:t>
      </w:r>
      <w:r>
        <w:rPr>
          <w:rFonts w:hint="eastAsia"/>
          <w:sz w:val="24"/>
          <w:szCs w:val="24"/>
        </w:rPr>
        <w:t>（甲阐述10</w:t>
      </w:r>
      <w:bookmarkStart w:id="0" w:name="OLE_LINK1"/>
      <w:bookmarkStart w:id="1" w:name="OLE_LINK2"/>
      <w:r>
        <w:rPr>
          <w:rFonts w:hint="eastAsia"/>
          <w:sz w:val="24"/>
          <w:szCs w:val="24"/>
        </w:rPr>
        <w:t>分钟</w:t>
      </w:r>
      <w:bookmarkEnd w:id="0"/>
      <w:bookmarkEnd w:id="1"/>
      <w:r>
        <w:rPr>
          <w:rFonts w:hint="eastAsia"/>
          <w:sz w:val="24"/>
          <w:szCs w:val="24"/>
        </w:rPr>
        <w:t>乙提问5分钟）+</w:t>
      </w:r>
      <w:r>
        <w:rPr>
          <w:rFonts w:hint="eastAsia" w:ascii="黑体" w:hAnsi="黑体" w:eastAsia="黑体" w:cs="黑体"/>
          <w:b/>
          <w:bCs/>
          <w:sz w:val="24"/>
          <w:szCs w:val="24"/>
          <w:highlight w:val="yellow"/>
        </w:rPr>
        <w:t>15分钟（</w:t>
      </w:r>
      <w:r>
        <w:rPr>
          <w:rFonts w:hint="eastAsia"/>
          <w:sz w:val="24"/>
          <w:szCs w:val="24"/>
        </w:rPr>
        <w:t xml:space="preserve">乙陈述10分钟甲提问5分钟））程序如下： </w:t>
      </w:r>
    </w:p>
    <w:p w14:paraId="7591AFDD">
      <w:pPr>
        <w:spacing w:line="3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①甲乙两队上场，甲队陈述，乙队针对甲队陈述提问；乙队陈述，甲队针对乙队陈述提问。 </w:t>
      </w:r>
    </w:p>
    <w:p w14:paraId="3BDFA22C">
      <w:pPr>
        <w:spacing w:line="3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②台上4人</w:t>
      </w:r>
      <w:r>
        <w:rPr>
          <w:rFonts w:hint="eastAsia" w:ascii="黑体" w:hAnsi="黑体" w:eastAsia="黑体" w:cs="黑体"/>
          <w:b/>
          <w:bCs/>
          <w:sz w:val="24"/>
          <w:szCs w:val="24"/>
          <w:highlight w:val="yellow"/>
        </w:rPr>
        <w:t>均需陈述</w:t>
      </w:r>
      <w:r>
        <w:rPr>
          <w:rFonts w:hint="eastAsia"/>
          <w:sz w:val="24"/>
          <w:szCs w:val="24"/>
        </w:rPr>
        <w:t>，</w:t>
      </w:r>
      <w:r>
        <w:rPr>
          <w:rFonts w:hint="eastAsia" w:ascii="黑体" w:hAnsi="黑体" w:eastAsia="黑体" w:cs="黑体"/>
          <w:b/>
          <w:bCs/>
          <w:sz w:val="24"/>
          <w:szCs w:val="24"/>
          <w:highlight w:val="yellow"/>
        </w:rPr>
        <w:t>第四位</w:t>
      </w:r>
      <w:r>
        <w:rPr>
          <w:rFonts w:hint="eastAsia"/>
          <w:sz w:val="24"/>
          <w:szCs w:val="24"/>
        </w:rPr>
        <w:t>陈述者要有</w:t>
      </w:r>
      <w:r>
        <w:rPr>
          <w:rFonts w:hint="eastAsia" w:ascii="黑体" w:hAnsi="黑体" w:eastAsia="黑体" w:cs="黑体"/>
          <w:b/>
          <w:bCs/>
          <w:sz w:val="24"/>
          <w:szCs w:val="24"/>
          <w:highlight w:val="yellow"/>
        </w:rPr>
        <w:t>总结性</w:t>
      </w:r>
      <w:r>
        <w:rPr>
          <w:rFonts w:hint="eastAsia"/>
          <w:sz w:val="24"/>
          <w:szCs w:val="24"/>
        </w:rPr>
        <w:t>发言。陈述时间为10分钟，问答环节为5分钟，每次提问只能提一个问题且不得超过30秒。每次问答时间共2分钟。问答双方请</w:t>
      </w:r>
      <w:r>
        <w:rPr>
          <w:rFonts w:hint="eastAsia" w:ascii="黑体" w:hAnsi="黑体" w:eastAsia="黑体" w:cs="黑体"/>
          <w:b/>
          <w:bCs/>
          <w:sz w:val="24"/>
          <w:szCs w:val="24"/>
          <w:highlight w:val="yellow"/>
        </w:rPr>
        <w:t>起立</w:t>
      </w:r>
      <w:r>
        <w:rPr>
          <w:rFonts w:hint="eastAsia"/>
          <w:sz w:val="24"/>
          <w:szCs w:val="24"/>
        </w:rPr>
        <w:t>。</w:t>
      </w:r>
    </w:p>
    <w:p w14:paraId="4AFFF522">
      <w:pPr>
        <w:spacing w:line="3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③台上提问者</w:t>
      </w:r>
      <w:r>
        <w:rPr>
          <w:rFonts w:hint="eastAsia" w:ascii="黑体" w:hAnsi="黑体" w:eastAsia="黑体" w:cs="黑体"/>
          <w:b/>
          <w:bCs/>
          <w:sz w:val="24"/>
          <w:szCs w:val="24"/>
          <w:highlight w:val="yellow"/>
        </w:rPr>
        <w:t>可指定</w:t>
      </w:r>
      <w:r>
        <w:rPr>
          <w:rFonts w:hint="eastAsia"/>
          <w:sz w:val="24"/>
          <w:szCs w:val="24"/>
        </w:rPr>
        <w:t xml:space="preserve">对方某位队员回答，被指定队员回答完毕后，其他台上或台下队员方可补充，如有两名及以上者举手补充，由主持人指定补充回答队员。不能连续提问某位指定队员。 </w:t>
      </w:r>
    </w:p>
    <w:p w14:paraId="67514E2F">
      <w:pPr>
        <w:spacing w:line="360" w:lineRule="exact"/>
        <w:ind w:firstLine="482" w:firstLineChars="200"/>
        <w:rPr>
          <w:b/>
          <w:bCs/>
          <w:sz w:val="24"/>
          <w:szCs w:val="24"/>
          <w:highlight w:val="yellow"/>
        </w:rPr>
      </w:pPr>
      <w:r>
        <w:rPr>
          <w:rFonts w:hint="eastAsia"/>
          <w:b/>
          <w:bCs/>
          <w:sz w:val="24"/>
          <w:szCs w:val="24"/>
          <w:u w:val="double"/>
        </w:rPr>
        <w:t>现场竞赛第二环节</w:t>
      </w:r>
      <w:r>
        <w:rPr>
          <w:rFonts w:hint="eastAsia"/>
          <w:sz w:val="24"/>
          <w:szCs w:val="24"/>
        </w:rPr>
        <w:t>（大PK，20分钟=</w:t>
      </w:r>
      <w:r>
        <w:rPr>
          <w:rFonts w:hint="eastAsia" w:ascii="黑体" w:hAnsi="黑体" w:eastAsia="黑体" w:cs="黑体"/>
          <w:b/>
          <w:bCs/>
          <w:sz w:val="24"/>
          <w:szCs w:val="24"/>
          <w:highlight w:val="yellow"/>
        </w:rPr>
        <w:t>8分钟（台下提问）</w:t>
      </w:r>
      <w:r>
        <w:rPr>
          <w:rFonts w:hint="eastAsia"/>
          <w:sz w:val="24"/>
          <w:szCs w:val="24"/>
        </w:rPr>
        <w:t>+</w:t>
      </w:r>
      <w:r>
        <w:rPr>
          <w:rFonts w:hint="eastAsia" w:ascii="黑体" w:hAnsi="黑体" w:eastAsia="黑体" w:cs="黑体"/>
          <w:b/>
          <w:bCs/>
          <w:sz w:val="24"/>
          <w:szCs w:val="24"/>
          <w:highlight w:val="yellow"/>
        </w:rPr>
        <w:t>12分钟（评委提问）</w:t>
      </w:r>
      <w:r>
        <w:rPr>
          <w:rFonts w:hint="eastAsia"/>
          <w:sz w:val="24"/>
          <w:szCs w:val="24"/>
        </w:rPr>
        <w:t xml:space="preserve">）程序如下： </w:t>
      </w:r>
    </w:p>
    <w:p w14:paraId="3C7551CB">
      <w:pPr>
        <w:spacing w:line="3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①台下</w:t>
      </w:r>
      <w:r>
        <w:rPr>
          <w:rFonts w:hint="eastAsia" w:ascii="黑体" w:hAnsi="黑体" w:eastAsia="黑体" w:cs="黑体"/>
          <w:b/>
          <w:bCs/>
          <w:sz w:val="24"/>
          <w:szCs w:val="24"/>
          <w:highlight w:val="yellow"/>
        </w:rPr>
        <w:t>队伍、观众</w:t>
      </w:r>
      <w:r>
        <w:rPr>
          <w:rFonts w:hint="eastAsia"/>
          <w:sz w:val="24"/>
          <w:szCs w:val="24"/>
        </w:rPr>
        <w:t>向台上两支队伍提问（8分钟），每次提问不得超过30秒。</w:t>
      </w:r>
    </w:p>
    <w:p w14:paraId="0CB0E997">
      <w:pPr>
        <w:spacing w:line="3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②台下每支队伍每次只能针对台上的一支队伍提一个问题，如果追问算第二次提问。台下队伍或观众可指定台上某位队员回答，被指定队员回答完毕后，其他台上或台下队员方</w:t>
      </w:r>
      <w:r>
        <w:rPr>
          <w:rFonts w:hint="eastAsia" w:ascii="黑体" w:hAnsi="黑体" w:eastAsia="黑体" w:cs="黑体"/>
          <w:b/>
          <w:bCs/>
          <w:sz w:val="24"/>
          <w:szCs w:val="24"/>
          <w:highlight w:val="yellow"/>
        </w:rPr>
        <w:t>可补充</w:t>
      </w:r>
      <w:r>
        <w:rPr>
          <w:rFonts w:hint="eastAsia"/>
          <w:sz w:val="24"/>
          <w:szCs w:val="24"/>
        </w:rPr>
        <w:t>。</w:t>
      </w:r>
      <w:r>
        <w:rPr>
          <w:rFonts w:hint="eastAsia" w:ascii="黑体" w:hAnsi="黑体" w:eastAsia="黑体" w:cs="黑体"/>
          <w:b/>
          <w:bCs/>
          <w:sz w:val="24"/>
          <w:szCs w:val="24"/>
          <w:highlight w:val="yellow"/>
        </w:rPr>
        <w:t>不能连续提问</w:t>
      </w:r>
      <w:r>
        <w:rPr>
          <w:rFonts w:hint="eastAsia"/>
          <w:sz w:val="24"/>
          <w:szCs w:val="24"/>
        </w:rPr>
        <w:t xml:space="preserve">某位指定队员，不能连续提问同一支队伍，不得向本校队伍提问。台下观众每次只能提一个问题，每次问答时间共2分钟，观众提问不超过30秒，如果超过一个问题或超时主持人有权打断，观众提问的质量不计入该队伍的分数。问答双方请起立。如果台下队伍没有问题，主持人可以提前结束台下队伍提问环节。 </w:t>
      </w:r>
    </w:p>
    <w:p w14:paraId="2EB2DDAA">
      <w:pPr>
        <w:spacing w:line="3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③台下</w:t>
      </w:r>
      <w:r>
        <w:rPr>
          <w:rFonts w:hint="eastAsia" w:ascii="黑体" w:hAnsi="黑体" w:eastAsia="黑体" w:cs="黑体"/>
          <w:b/>
          <w:bCs/>
          <w:sz w:val="24"/>
          <w:szCs w:val="24"/>
          <w:highlight w:val="yellow"/>
        </w:rPr>
        <w:t>评委</w:t>
      </w:r>
      <w:r>
        <w:rPr>
          <w:rFonts w:hint="eastAsia"/>
          <w:sz w:val="24"/>
          <w:szCs w:val="24"/>
        </w:rPr>
        <w:t xml:space="preserve">向台上队伍提问（12分钟）。 </w:t>
      </w:r>
    </w:p>
    <w:p w14:paraId="2ECAF2CB">
      <w:pPr>
        <w:spacing w:line="3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评委提问不限时间，但请尽可能简短。问答共12分钟。台上队伍回答请起立，每次回答时间不得超过2分钟。如果评委没有问题，主持人可以取消或提前结束评委提问环节。</w:t>
      </w:r>
    </w:p>
    <w:p w14:paraId="778E3F83">
      <w:pPr>
        <w:spacing w:line="36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3）评审团由院校评委和企业评委共同构成。现场竞赛阶段全部结束后，由评审团主席在比赛现场当场拆开装有盲审成绩的密封档案袋，公布各队盲审得分，与现场得分进行加总。</w:t>
      </w:r>
    </w:p>
    <w:p w14:paraId="516633E5">
      <w:pPr>
        <w:spacing w:line="4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2. 评分规则（表1和表2，共计100分） </w:t>
      </w:r>
    </w:p>
    <w:p w14:paraId="7AD77E6B">
      <w:pPr>
        <w:jc w:val="center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bidi="ar"/>
        </w:rPr>
        <w:t>表 1：北京林业大学第九届“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bidi="ar"/>
        </w:rPr>
        <w:t>春秋拓展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bidi="ar"/>
        </w:rPr>
        <w:t>杯”管理案例精英赛（202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bidi="ar"/>
        </w:rPr>
        <w:t>6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bidi="ar"/>
        </w:rPr>
        <w:t>）</w:t>
      </w:r>
    </w:p>
    <w:p w14:paraId="649B57A7">
      <w:pPr>
        <w:jc w:val="left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bidi="ar"/>
        </w:rPr>
        <w:t>盲审阶段评分表（40 分）</w:t>
      </w:r>
    </w:p>
    <w:p w14:paraId="50759E1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队伍编号：</w:t>
      </w:r>
      <w:r>
        <w:rPr>
          <w:rFonts w:hint="eastAsia"/>
          <w:b/>
          <w:sz w:val="28"/>
          <w:szCs w:val="28"/>
          <w:u w:val="single"/>
        </w:rPr>
        <w:t xml:space="preserve">          </w:t>
      </w:r>
    </w:p>
    <w:tbl>
      <w:tblPr>
        <w:tblStyle w:val="5"/>
        <w:tblW w:w="8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508"/>
        <w:gridCol w:w="2033"/>
        <w:gridCol w:w="2238"/>
      </w:tblGrid>
      <w:tr w14:paraId="580A3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 w14:paraId="682E631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评分项目</w:t>
            </w:r>
          </w:p>
        </w:tc>
        <w:tc>
          <w:tcPr>
            <w:tcW w:w="4541" w:type="dxa"/>
            <w:gridSpan w:val="2"/>
            <w:vAlign w:val="center"/>
          </w:tcPr>
          <w:p w14:paraId="42D47028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参考评分标准</w:t>
            </w:r>
          </w:p>
        </w:tc>
        <w:tc>
          <w:tcPr>
            <w:tcW w:w="2238" w:type="dxa"/>
            <w:vAlign w:val="center"/>
          </w:tcPr>
          <w:p w14:paraId="4943960F">
            <w:pPr>
              <w:jc w:val="center"/>
              <w:rPr>
                <w:b/>
                <w:color w:val="0000FF"/>
                <w:sz w:val="28"/>
                <w:szCs w:val="28"/>
              </w:rPr>
            </w:pPr>
            <w:r>
              <w:t>得分（精确到小数点后一位）</w:t>
            </w:r>
          </w:p>
        </w:tc>
      </w:tr>
      <w:tr w14:paraId="3DDE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restart"/>
            <w:vAlign w:val="center"/>
          </w:tcPr>
          <w:p w14:paraId="58A5BC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案例分析</w:t>
            </w:r>
          </w:p>
          <w:p w14:paraId="0A267B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（40分）</w:t>
            </w:r>
          </w:p>
        </w:tc>
        <w:tc>
          <w:tcPr>
            <w:tcW w:w="4541" w:type="dxa"/>
            <w:gridSpan w:val="2"/>
            <w:vAlign w:val="center"/>
          </w:tcPr>
          <w:p w14:paraId="2BB47E99">
            <w:pPr>
              <w:spacing w:before="156" w:beforeLines="50" w:after="156" w:afterLines="50"/>
            </w:pPr>
            <w:r>
              <w:t>案例问题解决方案的合理性与可行性（10分）</w:t>
            </w:r>
          </w:p>
        </w:tc>
        <w:tc>
          <w:tcPr>
            <w:tcW w:w="2238" w:type="dxa"/>
            <w:vMerge w:val="restart"/>
            <w:vAlign w:val="center"/>
          </w:tcPr>
          <w:p w14:paraId="5743B3F9">
            <w:pPr>
              <w:rPr>
                <w:b/>
                <w:color w:val="0000FF"/>
                <w:sz w:val="28"/>
                <w:szCs w:val="28"/>
              </w:rPr>
            </w:pPr>
          </w:p>
        </w:tc>
      </w:tr>
      <w:tr w14:paraId="78610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 w14:paraId="20174DA2">
            <w:pPr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4541" w:type="dxa"/>
            <w:gridSpan w:val="2"/>
            <w:vAlign w:val="center"/>
          </w:tcPr>
          <w:p w14:paraId="72BB1B0D">
            <w:pPr>
              <w:spacing w:before="156" w:beforeLines="50" w:after="156" w:afterLines="50"/>
            </w:pPr>
            <w:r>
              <w:t>案例问题解决方案的创新性（10分）</w:t>
            </w:r>
          </w:p>
        </w:tc>
        <w:tc>
          <w:tcPr>
            <w:tcW w:w="2238" w:type="dxa"/>
            <w:vMerge w:val="continue"/>
            <w:vAlign w:val="center"/>
          </w:tcPr>
          <w:p w14:paraId="21D691A2">
            <w:pPr>
              <w:rPr>
                <w:b/>
                <w:color w:val="0000FF"/>
                <w:sz w:val="28"/>
                <w:szCs w:val="28"/>
              </w:rPr>
            </w:pPr>
          </w:p>
        </w:tc>
      </w:tr>
      <w:tr w14:paraId="77D05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 w14:paraId="51161C7B">
            <w:pPr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4541" w:type="dxa"/>
            <w:gridSpan w:val="2"/>
            <w:vAlign w:val="center"/>
          </w:tcPr>
          <w:p w14:paraId="64F8E9F4">
            <w:pPr>
              <w:spacing w:before="156" w:beforeLines="50" w:after="156" w:afterLines="50"/>
            </w:pPr>
            <w:r>
              <w:t>案例问题解决方案的有效性（10分）</w:t>
            </w:r>
          </w:p>
        </w:tc>
        <w:tc>
          <w:tcPr>
            <w:tcW w:w="2238" w:type="dxa"/>
            <w:vMerge w:val="continue"/>
            <w:vAlign w:val="center"/>
          </w:tcPr>
          <w:p w14:paraId="36B7A313">
            <w:pPr>
              <w:rPr>
                <w:b/>
                <w:color w:val="0000FF"/>
                <w:sz w:val="28"/>
                <w:szCs w:val="28"/>
              </w:rPr>
            </w:pPr>
          </w:p>
        </w:tc>
      </w:tr>
      <w:tr w14:paraId="6E474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 w14:paraId="03992D44">
            <w:pPr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4541" w:type="dxa"/>
            <w:gridSpan w:val="2"/>
            <w:vAlign w:val="center"/>
          </w:tcPr>
          <w:p w14:paraId="0ED484C8">
            <w:pPr>
              <w:spacing w:before="156" w:beforeLines="50" w:after="156" w:afterLines="50"/>
            </w:pPr>
            <w:r>
              <w:t>案例信息与数据分析的准确性与充足性（5分）</w:t>
            </w:r>
          </w:p>
        </w:tc>
        <w:tc>
          <w:tcPr>
            <w:tcW w:w="2238" w:type="dxa"/>
            <w:vMerge w:val="continue"/>
            <w:vAlign w:val="center"/>
          </w:tcPr>
          <w:p w14:paraId="3AD94119">
            <w:pPr>
              <w:rPr>
                <w:b/>
                <w:color w:val="0000FF"/>
                <w:sz w:val="28"/>
                <w:szCs w:val="28"/>
              </w:rPr>
            </w:pPr>
          </w:p>
        </w:tc>
      </w:tr>
      <w:tr w14:paraId="3F9F0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</w:tcPr>
          <w:p w14:paraId="547DEB42">
            <w:pPr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4541" w:type="dxa"/>
            <w:gridSpan w:val="2"/>
            <w:vAlign w:val="center"/>
          </w:tcPr>
          <w:p w14:paraId="2EC504E6">
            <w:pPr>
              <w:spacing w:before="156" w:beforeLines="50" w:after="156" w:afterLines="50"/>
            </w:pPr>
            <w:r>
              <w:t>管理理论与方法的应用</w:t>
            </w:r>
            <w:r>
              <w:rPr>
                <w:rFonts w:hint="eastAsia"/>
              </w:rPr>
              <w:t>（</w:t>
            </w:r>
            <w:r>
              <w:t>5分</w:t>
            </w:r>
            <w:r>
              <w:rPr>
                <w:rFonts w:hint="eastAsia"/>
              </w:rPr>
              <w:t>）</w:t>
            </w:r>
          </w:p>
        </w:tc>
        <w:tc>
          <w:tcPr>
            <w:tcW w:w="2238" w:type="dxa"/>
            <w:vMerge w:val="continue"/>
          </w:tcPr>
          <w:p w14:paraId="572CC0D7">
            <w:pPr>
              <w:rPr>
                <w:b/>
                <w:color w:val="0000FF"/>
                <w:sz w:val="28"/>
                <w:szCs w:val="28"/>
              </w:rPr>
            </w:pPr>
          </w:p>
        </w:tc>
      </w:tr>
      <w:tr w14:paraId="5FF22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</w:tcPr>
          <w:p w14:paraId="23F6C6A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评委签名</w:t>
            </w:r>
          </w:p>
        </w:tc>
        <w:tc>
          <w:tcPr>
            <w:tcW w:w="2508" w:type="dxa"/>
          </w:tcPr>
          <w:p w14:paraId="2C3FA2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</w:tcPr>
          <w:p w14:paraId="0C618AD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总分</w:t>
            </w:r>
          </w:p>
        </w:tc>
        <w:tc>
          <w:tcPr>
            <w:tcW w:w="2238" w:type="dxa"/>
          </w:tcPr>
          <w:p w14:paraId="518E1B31">
            <w:pPr>
              <w:rPr>
                <w:b/>
                <w:color w:val="0000FF"/>
                <w:sz w:val="28"/>
                <w:szCs w:val="28"/>
              </w:rPr>
            </w:pPr>
          </w:p>
        </w:tc>
      </w:tr>
    </w:tbl>
    <w:p w14:paraId="5F46A58D">
      <w:pPr>
        <w:widowControl/>
        <w:jc w:val="left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bidi="ar"/>
        </w:rPr>
      </w:pPr>
    </w:p>
    <w:p w14:paraId="4AF3746E">
      <w:pPr>
        <w:jc w:val="center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bidi="ar"/>
        </w:rPr>
        <w:t xml:space="preserve">  表 2：北京林业大学第九届“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bidi="ar"/>
        </w:rPr>
        <w:t>春秋拓展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bidi="ar"/>
        </w:rPr>
        <w:t>杯”管理案例精英赛（202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bidi="ar"/>
        </w:rPr>
        <w:t>6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bidi="ar"/>
        </w:rPr>
        <w:t>）</w:t>
      </w:r>
    </w:p>
    <w:p w14:paraId="27B466AB">
      <w:pPr>
        <w:widowControl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bidi="ar"/>
        </w:rPr>
        <w:t>现场阶段评分表（60分）</w:t>
      </w:r>
    </w:p>
    <w:p w14:paraId="64389CD3">
      <w:pPr>
        <w:rPr>
          <w:b/>
          <w:sz w:val="28"/>
          <w:szCs w:val="28"/>
        </w:rPr>
      </w:pPr>
      <w:r>
        <w:rPr>
          <w:b/>
          <w:sz w:val="28"/>
          <w:szCs w:val="28"/>
        </w:rPr>
        <w:t>队伍编号：</w:t>
      </w:r>
      <w:r>
        <w:rPr>
          <w:rFonts w:hint="eastAsia"/>
          <w:b/>
          <w:sz w:val="28"/>
          <w:szCs w:val="28"/>
          <w:u w:val="single"/>
        </w:rPr>
        <w:t xml:space="preserve">          </w:t>
      </w:r>
    </w:p>
    <w:tbl>
      <w:tblPr>
        <w:tblStyle w:val="5"/>
        <w:tblW w:w="8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508"/>
        <w:gridCol w:w="2033"/>
        <w:gridCol w:w="2275"/>
      </w:tblGrid>
      <w:tr w14:paraId="09ABC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 w14:paraId="245E84D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评分项目</w:t>
            </w:r>
          </w:p>
        </w:tc>
        <w:tc>
          <w:tcPr>
            <w:tcW w:w="4541" w:type="dxa"/>
            <w:gridSpan w:val="2"/>
            <w:vAlign w:val="center"/>
          </w:tcPr>
          <w:p w14:paraId="3FD9A973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参考评分标准</w:t>
            </w:r>
          </w:p>
        </w:tc>
        <w:tc>
          <w:tcPr>
            <w:tcW w:w="2275" w:type="dxa"/>
            <w:vAlign w:val="center"/>
          </w:tcPr>
          <w:p w14:paraId="2683789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>
              <w:t>得分（精确到小数点后一位）</w:t>
            </w:r>
          </w:p>
        </w:tc>
      </w:tr>
      <w:tr w14:paraId="721E8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restart"/>
            <w:vAlign w:val="center"/>
          </w:tcPr>
          <w:p w14:paraId="164DE8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案例分析</w:t>
            </w:r>
          </w:p>
          <w:p w14:paraId="420A2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（40分）</w:t>
            </w:r>
          </w:p>
        </w:tc>
        <w:tc>
          <w:tcPr>
            <w:tcW w:w="4541" w:type="dxa"/>
            <w:gridSpan w:val="2"/>
            <w:vAlign w:val="center"/>
          </w:tcPr>
          <w:p w14:paraId="33C8EC91">
            <w:pPr>
              <w:spacing w:before="156" w:beforeLines="50" w:after="156" w:afterLines="50"/>
            </w:pPr>
            <w:r>
              <w:t>案例问题识别与分析的逻辑性与严谨性（10分）</w:t>
            </w:r>
          </w:p>
        </w:tc>
        <w:tc>
          <w:tcPr>
            <w:tcW w:w="2275" w:type="dxa"/>
            <w:vMerge w:val="restart"/>
            <w:vAlign w:val="center"/>
          </w:tcPr>
          <w:p w14:paraId="6D12EE2F">
            <w:pPr>
              <w:rPr>
                <w:b/>
                <w:color w:val="0000FF"/>
                <w:sz w:val="28"/>
                <w:szCs w:val="28"/>
              </w:rPr>
            </w:pPr>
          </w:p>
        </w:tc>
      </w:tr>
      <w:tr w14:paraId="72C99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 w14:paraId="0B88FC71">
            <w:pPr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4541" w:type="dxa"/>
            <w:gridSpan w:val="2"/>
            <w:vAlign w:val="center"/>
          </w:tcPr>
          <w:p w14:paraId="63FCB12B">
            <w:pPr>
              <w:spacing w:before="156" w:beforeLines="50" w:after="156" w:afterLines="50"/>
            </w:pPr>
            <w:r>
              <w:t>案例问题解决方案的创新性与有效性（10分）</w:t>
            </w:r>
          </w:p>
        </w:tc>
        <w:tc>
          <w:tcPr>
            <w:tcW w:w="2275" w:type="dxa"/>
            <w:vMerge w:val="continue"/>
            <w:vAlign w:val="center"/>
          </w:tcPr>
          <w:p w14:paraId="2898E297">
            <w:pPr>
              <w:rPr>
                <w:b/>
                <w:color w:val="0000FF"/>
                <w:sz w:val="28"/>
                <w:szCs w:val="28"/>
              </w:rPr>
            </w:pPr>
          </w:p>
        </w:tc>
      </w:tr>
      <w:tr w14:paraId="1FA16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 w14:paraId="1EFCB698">
            <w:pPr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4541" w:type="dxa"/>
            <w:gridSpan w:val="2"/>
            <w:vAlign w:val="center"/>
          </w:tcPr>
          <w:p w14:paraId="2D8B979A">
            <w:pPr>
              <w:spacing w:before="156" w:beforeLines="50" w:after="156" w:afterLines="50"/>
            </w:pPr>
            <w:r>
              <w:t>案例信息与数据分析的准确性与充足性（10分）</w:t>
            </w:r>
          </w:p>
        </w:tc>
        <w:tc>
          <w:tcPr>
            <w:tcW w:w="2275" w:type="dxa"/>
            <w:vMerge w:val="continue"/>
            <w:vAlign w:val="center"/>
          </w:tcPr>
          <w:p w14:paraId="59894434">
            <w:pPr>
              <w:rPr>
                <w:b/>
                <w:color w:val="0000FF"/>
                <w:sz w:val="28"/>
                <w:szCs w:val="28"/>
              </w:rPr>
            </w:pPr>
          </w:p>
        </w:tc>
      </w:tr>
      <w:tr w14:paraId="5A466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 w14:paraId="705A3EDD">
            <w:pPr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4541" w:type="dxa"/>
            <w:gridSpan w:val="2"/>
            <w:vAlign w:val="center"/>
          </w:tcPr>
          <w:p w14:paraId="4B59DDF4">
            <w:pPr>
              <w:spacing w:before="156" w:beforeLines="50" w:after="156" w:afterLines="50"/>
            </w:pPr>
            <w:r>
              <w:t>现场提问及回答的专业性与应变能力（</w:t>
            </w:r>
            <w:r>
              <w:rPr>
                <w:rFonts w:hint="eastAsia"/>
              </w:rPr>
              <w:t>1</w:t>
            </w:r>
            <w:r>
              <w:t>0分）</w:t>
            </w:r>
          </w:p>
        </w:tc>
        <w:tc>
          <w:tcPr>
            <w:tcW w:w="2275" w:type="dxa"/>
            <w:vMerge w:val="continue"/>
            <w:vAlign w:val="center"/>
          </w:tcPr>
          <w:p w14:paraId="3D92F5BA">
            <w:pPr>
              <w:rPr>
                <w:b/>
                <w:color w:val="0000FF"/>
                <w:sz w:val="28"/>
                <w:szCs w:val="28"/>
              </w:rPr>
            </w:pPr>
          </w:p>
        </w:tc>
      </w:tr>
      <w:tr w14:paraId="76606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restart"/>
            <w:vAlign w:val="center"/>
          </w:tcPr>
          <w:p w14:paraId="3F66D8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现场表现 </w:t>
            </w:r>
          </w:p>
          <w:p w14:paraId="3B9F43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（20分）</w:t>
            </w:r>
          </w:p>
        </w:tc>
        <w:tc>
          <w:tcPr>
            <w:tcW w:w="4541" w:type="dxa"/>
            <w:gridSpan w:val="2"/>
            <w:vAlign w:val="center"/>
          </w:tcPr>
          <w:p w14:paraId="0892CE5B">
            <w:pPr>
              <w:spacing w:before="156" w:beforeLines="50" w:after="156" w:afterLines="50"/>
            </w:pPr>
            <w:r>
              <w:t>语言表达的流畅性（5分）</w:t>
            </w:r>
          </w:p>
        </w:tc>
        <w:tc>
          <w:tcPr>
            <w:tcW w:w="2275" w:type="dxa"/>
            <w:vMerge w:val="restart"/>
            <w:vAlign w:val="center"/>
          </w:tcPr>
          <w:p w14:paraId="09DE25E4">
            <w:pPr>
              <w:rPr>
                <w:b/>
                <w:color w:val="0000FF"/>
                <w:sz w:val="28"/>
                <w:szCs w:val="28"/>
              </w:rPr>
            </w:pPr>
          </w:p>
        </w:tc>
      </w:tr>
      <w:tr w14:paraId="4CF89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 w14:paraId="1C17FE16">
            <w:pPr>
              <w:rPr>
                <w:sz w:val="28"/>
                <w:szCs w:val="28"/>
              </w:rPr>
            </w:pPr>
          </w:p>
        </w:tc>
        <w:tc>
          <w:tcPr>
            <w:tcW w:w="4541" w:type="dxa"/>
            <w:gridSpan w:val="2"/>
            <w:vAlign w:val="center"/>
          </w:tcPr>
          <w:p w14:paraId="6BB5117D">
            <w:pPr>
              <w:spacing w:before="156" w:beforeLines="50" w:after="156" w:afterLines="50"/>
            </w:pPr>
            <w:r>
              <w:t>方案陈述的时间控制（5分）</w:t>
            </w:r>
          </w:p>
        </w:tc>
        <w:tc>
          <w:tcPr>
            <w:tcW w:w="2275" w:type="dxa"/>
            <w:vMerge w:val="continue"/>
            <w:vAlign w:val="center"/>
          </w:tcPr>
          <w:p w14:paraId="32C37411">
            <w:pPr>
              <w:rPr>
                <w:b/>
                <w:color w:val="0000FF"/>
                <w:sz w:val="28"/>
                <w:szCs w:val="28"/>
              </w:rPr>
            </w:pPr>
          </w:p>
        </w:tc>
      </w:tr>
      <w:tr w14:paraId="24A9D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 w14:paraId="39BBD9E2">
            <w:pPr>
              <w:rPr>
                <w:sz w:val="28"/>
                <w:szCs w:val="28"/>
              </w:rPr>
            </w:pPr>
          </w:p>
        </w:tc>
        <w:tc>
          <w:tcPr>
            <w:tcW w:w="4541" w:type="dxa"/>
            <w:gridSpan w:val="2"/>
            <w:vAlign w:val="center"/>
          </w:tcPr>
          <w:p w14:paraId="3463C720">
            <w:pPr>
              <w:spacing w:before="156" w:beforeLines="50" w:after="156" w:afterLines="50"/>
            </w:pPr>
            <w:r>
              <w:t>团队精神风貌（5 分）</w:t>
            </w:r>
          </w:p>
        </w:tc>
        <w:tc>
          <w:tcPr>
            <w:tcW w:w="2275" w:type="dxa"/>
            <w:vMerge w:val="continue"/>
            <w:vAlign w:val="center"/>
          </w:tcPr>
          <w:p w14:paraId="31457DEE">
            <w:pPr>
              <w:rPr>
                <w:b/>
                <w:color w:val="0000FF"/>
                <w:sz w:val="28"/>
                <w:szCs w:val="28"/>
              </w:rPr>
            </w:pPr>
          </w:p>
        </w:tc>
      </w:tr>
      <w:tr w14:paraId="29CD4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Merge w:val="continue"/>
            <w:vAlign w:val="center"/>
          </w:tcPr>
          <w:p w14:paraId="7BB26BF5">
            <w:pPr>
              <w:rPr>
                <w:sz w:val="28"/>
                <w:szCs w:val="28"/>
              </w:rPr>
            </w:pPr>
          </w:p>
        </w:tc>
        <w:tc>
          <w:tcPr>
            <w:tcW w:w="4541" w:type="dxa"/>
            <w:gridSpan w:val="2"/>
            <w:vAlign w:val="center"/>
          </w:tcPr>
          <w:p w14:paraId="48C6A1A6">
            <w:pPr>
              <w:spacing w:before="156" w:beforeLines="50" w:after="156" w:afterLines="50"/>
            </w:pPr>
            <w:r>
              <w:rPr>
                <w:rFonts w:hint="eastAsia"/>
              </w:rPr>
              <w:t>团队分工与合作（</w:t>
            </w:r>
            <w:r>
              <w:t>5分</w:t>
            </w:r>
            <w:r>
              <w:rPr>
                <w:rFonts w:hint="eastAsia"/>
              </w:rPr>
              <w:t>）</w:t>
            </w:r>
          </w:p>
        </w:tc>
        <w:tc>
          <w:tcPr>
            <w:tcW w:w="2275" w:type="dxa"/>
            <w:vMerge w:val="continue"/>
            <w:vAlign w:val="center"/>
          </w:tcPr>
          <w:p w14:paraId="41B5E8DC">
            <w:pPr>
              <w:rPr>
                <w:b/>
                <w:color w:val="0000FF"/>
                <w:sz w:val="28"/>
                <w:szCs w:val="28"/>
              </w:rPr>
            </w:pPr>
          </w:p>
        </w:tc>
      </w:tr>
      <w:tr w14:paraId="3E176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</w:tcPr>
          <w:p w14:paraId="63C7093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评委签名</w:t>
            </w:r>
          </w:p>
        </w:tc>
        <w:tc>
          <w:tcPr>
            <w:tcW w:w="2508" w:type="dxa"/>
          </w:tcPr>
          <w:p w14:paraId="254452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</w:tcPr>
          <w:p w14:paraId="2081931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总分</w:t>
            </w:r>
          </w:p>
        </w:tc>
        <w:tc>
          <w:tcPr>
            <w:tcW w:w="2275" w:type="dxa"/>
          </w:tcPr>
          <w:p w14:paraId="1796D11B">
            <w:pPr>
              <w:rPr>
                <w:b/>
                <w:color w:val="0000FF"/>
                <w:sz w:val="28"/>
                <w:szCs w:val="28"/>
              </w:rPr>
            </w:pPr>
          </w:p>
        </w:tc>
      </w:tr>
    </w:tbl>
    <w:p w14:paraId="163F1366">
      <w:pPr>
        <w:ind w:firstLine="562" w:firstLineChars="200"/>
        <w:rPr>
          <w:b/>
          <w:color w:val="0000FF"/>
          <w:sz w:val="28"/>
          <w:szCs w:val="28"/>
        </w:rPr>
      </w:pPr>
    </w:p>
    <w:sectPr>
      <w:pgSz w:w="11906" w:h="16838"/>
      <w:pgMar w:top="1134" w:right="1406" w:bottom="110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NkM2M1ODBhNTU4NjdhMGIxNjk3ZjZhODY3M2UzNTIifQ=="/>
  </w:docVars>
  <w:rsids>
    <w:rsidRoot w:val="00C065CE"/>
    <w:rsid w:val="00424037"/>
    <w:rsid w:val="005C203B"/>
    <w:rsid w:val="007F1915"/>
    <w:rsid w:val="008225B3"/>
    <w:rsid w:val="008A3DCC"/>
    <w:rsid w:val="00930405"/>
    <w:rsid w:val="009B1A0A"/>
    <w:rsid w:val="00A24B3D"/>
    <w:rsid w:val="00A31C1A"/>
    <w:rsid w:val="00B14D4C"/>
    <w:rsid w:val="00C065CE"/>
    <w:rsid w:val="00C46305"/>
    <w:rsid w:val="00DA0351"/>
    <w:rsid w:val="00E15D9D"/>
    <w:rsid w:val="00F656CE"/>
    <w:rsid w:val="074558F8"/>
    <w:rsid w:val="0D4079D4"/>
    <w:rsid w:val="46AF031B"/>
    <w:rsid w:val="4D051DF7"/>
    <w:rsid w:val="5592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1449</Words>
  <Characters>1512</Characters>
  <Lines>11</Lines>
  <Paragraphs>3</Paragraphs>
  <TotalTime>20</TotalTime>
  <ScaleCrop>false</ScaleCrop>
  <LinksUpToDate>false</LinksUpToDate>
  <CharactersWithSpaces>1549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2023-06-19T10:42:00Z</dcterms:created>
  <dc:creator>zhangy</dc:creator>
  <cp:lastModifiedBy>Hi Bear</cp:lastModifiedBy>
  <dcterms:modified xsi:type="dcterms:W3CDTF">2026-04-13T06:28:51Z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24A41DF7EF774482B26501BC17BEFB1B_13</vt:lpwstr>
  </property>
</Properties>
</file>